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7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A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A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</w:t>
      </w:r>
      <w:r w:rsidR="00B5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="008A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8A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A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A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A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A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A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A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A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32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DA3DA7" w:rsidRDefault="00DA3DA7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7D" w:rsidRDefault="00DA3DA7" w:rsidP="00DA3DA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</w:t>
      </w:r>
      <w:r w:rsidR="007B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597D" w:rsidRDefault="007B597D" w:rsidP="00DA3DA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государственной экзаменационной </w:t>
      </w:r>
    </w:p>
    <w:p w:rsidR="007B597D" w:rsidRDefault="007B597D" w:rsidP="00DA3DA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Карачаево-Черкесской Республики </w:t>
      </w:r>
    </w:p>
    <w:p w:rsidR="007B597D" w:rsidRDefault="007B597D" w:rsidP="00DA3DA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государственной итоговой </w:t>
      </w:r>
    </w:p>
    <w:p w:rsidR="007B597D" w:rsidRDefault="007B597D" w:rsidP="00DA3DA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аттестации по образовательным программам </w:t>
      </w:r>
    </w:p>
    <w:p w:rsidR="00DA3DA7" w:rsidRDefault="007B597D" w:rsidP="00DA3DA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общего образования»</w:t>
      </w:r>
    </w:p>
    <w:p w:rsidR="00DA3DA7" w:rsidRPr="0060497D" w:rsidRDefault="00DA3DA7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18F" w:rsidRPr="0083718F" w:rsidRDefault="00307E3E" w:rsidP="00C6728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A3DA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 государственной итоговой аттестации по образовательным программам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 общего образования в 2016 году</w:t>
      </w:r>
      <w:r w:rsidRPr="00D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</w:t>
      </w:r>
      <w:r w:rsidRPr="00DA3D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Pr="00D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государственной экзаменационной комиссии </w:t>
      </w:r>
      <w:r w:rsidR="00C6728E" w:rsidRPr="00DA3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3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  <w:r w:rsidRPr="00D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 </w:t>
      </w:r>
      <w:proofErr w:type="spellStart"/>
      <w:r w:rsidRPr="00DA3D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Нухович</w:t>
      </w:r>
      <w:proofErr w:type="spellEnd"/>
      <w:r w:rsidRPr="00DA3DA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Правительства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заместителем председателя Кравченко Инна Владимировна, Министр образования и науки Карачаево-Черкесской </w:t>
      </w:r>
      <w:r w:rsidRPr="008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</w:t>
      </w:r>
      <w:r w:rsidRPr="001A174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371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Pr="00D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(Распоряжение </w:t>
      </w:r>
      <w:r w:rsidR="00DA3DA7" w:rsidRPr="00DA3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16.12.2015 № 3782</w:t>
      </w:r>
      <w:r w:rsidR="0083718F">
        <w:rPr>
          <w:rFonts w:ascii="Times New Roman" w:eastAsia="Times New Roman" w:hAnsi="Times New Roman" w:cs="Times New Roman"/>
          <w:sz w:val="28"/>
          <w:szCs w:val="28"/>
          <w:lang w:eastAsia="ru-RU"/>
        </w:rPr>
        <w:t>-10, № 3783-10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Toc409604819"/>
      <w:bookmarkStart w:id="1" w:name="_Toc410054419"/>
      <w:bookmarkStart w:id="2" w:name="_Toc410061988"/>
    </w:p>
    <w:bookmarkEnd w:id="0"/>
    <w:bookmarkEnd w:id="1"/>
    <w:bookmarkEnd w:id="2"/>
    <w:p w:rsidR="009E74D3" w:rsidRDefault="009E74D3" w:rsidP="00893876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Порядка проведения государственной итоговой аттестации по образовательным программам среднего общего образования, утверждённого приказом Министерства образования и науки Российской Федерации от 26 декабря </w:t>
      </w:r>
      <w:r w:rsidR="00893876"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1400 (зарегистрирован Минюстом России от 03.02.2014, регистрационный № 31205)                                                                </w:t>
      </w:r>
      <w:r w:rsidRPr="009E74D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Приказываю: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4D3" w:rsidRDefault="009E74D3" w:rsidP="00C6728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="00893876"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экзаменационной</w:t>
      </w:r>
    </w:p>
    <w:p w:rsidR="009E74D3" w:rsidRPr="009E74D3" w:rsidRDefault="009E74D3" w:rsidP="00C6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государственной итоговой аттестации по образовател</w:t>
      </w:r>
      <w:r w:rsid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программам среднего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</w:t>
      </w:r>
    </w:p>
    <w:p w:rsidR="009E74D3" w:rsidRPr="009E74D3" w:rsidRDefault="009E74D3" w:rsidP="00C67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</w:t>
      </w:r>
      <w:r w:rsidR="00B2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приказа возложить на </w:t>
      </w:r>
      <w:r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B20D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естителя</w:t>
      </w:r>
      <w:r w:rsid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8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3876"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</w:t>
      </w:r>
      <w:r w:rsidR="0089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B2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Карачаево-Черкесской Республики </w:t>
      </w:r>
      <w:proofErr w:type="spellStart"/>
      <w:r w:rsidR="00B20DC7"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Ф.Б.Бекижеву</w:t>
      </w:r>
      <w:proofErr w:type="spellEnd"/>
      <w:r w:rsidR="00B20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4D3" w:rsidRPr="009E74D3" w:rsidRDefault="009E74D3" w:rsidP="009E74D3">
      <w:pPr>
        <w:spacing w:after="0" w:line="240" w:lineRule="auto"/>
        <w:ind w:right="23" w:firstLine="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9E74D3" w:rsidRPr="009E74D3" w:rsidRDefault="008A2453" w:rsidP="008A245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63E214" wp14:editId="47750554">
            <wp:extent cx="1914525" cy="1419225"/>
            <wp:effectExtent l="0" t="0" r="9525" b="9525"/>
            <wp:docPr id="1" name="Рисунок 1" descr="Описание: C:\Users\90A8~1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90A8~1\AppData\Local\Temp\FineReader10\media\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76" w:rsidRDefault="009E74D3" w:rsidP="009E74D3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                                                                </w:t>
      </w:r>
      <w:r w:rsidR="00B2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B20D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И.В.Кравченко</w:t>
      </w:r>
      <w:proofErr w:type="spellEnd"/>
    </w:p>
    <w:p w:rsidR="009E74D3" w:rsidRPr="009E74D3" w:rsidRDefault="00B20DC7" w:rsidP="009E74D3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4D3" w:rsidRPr="009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B597D" w:rsidRPr="00307E3E" w:rsidRDefault="009E74D3" w:rsidP="00307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74D3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 w:rsidRPr="009E74D3">
        <w:rPr>
          <w:rFonts w:ascii="Times New Roman" w:eastAsia="Times New Roman" w:hAnsi="Times New Roman" w:cs="Times New Roman"/>
          <w:lang w:eastAsia="ru-RU"/>
        </w:rPr>
        <w:t>Аганова</w:t>
      </w:r>
      <w:proofErr w:type="spellEnd"/>
      <w:r w:rsidRPr="009E74D3">
        <w:rPr>
          <w:rFonts w:ascii="Times New Roman" w:eastAsia="Times New Roman" w:hAnsi="Times New Roman" w:cs="Times New Roman"/>
          <w:lang w:eastAsia="ru-RU"/>
        </w:rPr>
        <w:t xml:space="preserve"> Н.Г.</w:t>
      </w:r>
    </w:p>
    <w:p w:rsidR="008A2453" w:rsidRPr="008A2453" w:rsidRDefault="008A2453" w:rsidP="008A24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A2453" w:rsidRPr="008A2453" w:rsidRDefault="008A2453" w:rsidP="008A24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Минобразования </w:t>
      </w:r>
    </w:p>
    <w:p w:rsidR="007B597D" w:rsidRPr="008A2453" w:rsidRDefault="008A2453" w:rsidP="008A24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КЧР</w:t>
      </w:r>
    </w:p>
    <w:p w:rsidR="008A2453" w:rsidRPr="008A2453" w:rsidRDefault="008A2453" w:rsidP="008A24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32 от 14.01.2016 г.</w:t>
      </w:r>
    </w:p>
    <w:p w:rsidR="00C6728E" w:rsidRDefault="00C6728E" w:rsidP="008A245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3" w:name="_Toc410054420"/>
    </w:p>
    <w:p w:rsidR="00307E3E" w:rsidRPr="00C6728E" w:rsidRDefault="00C6728E" w:rsidP="00307E3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307E3E"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государственной экзаменационной комиссии</w:t>
      </w:r>
    </w:p>
    <w:p w:rsidR="00C6728E" w:rsidRDefault="00307E3E" w:rsidP="00307E3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Карачаево-Черкесской Республики  по проведению государственной итоговой  аттестации по образовательным программам </w:t>
      </w:r>
    </w:p>
    <w:p w:rsidR="00307E3E" w:rsidRPr="00C6728E" w:rsidRDefault="00307E3E" w:rsidP="00307E3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 образования</w:t>
      </w:r>
    </w:p>
    <w:p w:rsidR="00307E3E" w:rsidRPr="00307E3E" w:rsidRDefault="00307E3E" w:rsidP="00307E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597D" w:rsidRPr="007B597D" w:rsidRDefault="007B597D" w:rsidP="007B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59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условных обозначений и сокращений</w:t>
      </w:r>
      <w:bookmarkEnd w:id="3"/>
    </w:p>
    <w:p w:rsidR="007B597D" w:rsidRPr="007B597D" w:rsidRDefault="007B597D" w:rsidP="007B597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90"/>
        <w:gridCol w:w="7264"/>
      </w:tblGrid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</w:t>
            </w: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освоившие образовательные программы среднего общего образования</w:t>
            </w: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предыдущие годы и имеющие документ об 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 образовании, подтверждающий получение среднего (полного) общего образования, до 1 сентября 2013 года);</w:t>
            </w:r>
          </w:p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 в иностранных образовательных организациях;</w:t>
            </w:r>
          </w:p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лет-военнослужащие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ГВЭ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выпускной экзамен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Государственная итоговая аттестация по образовательным программам среднего общего образования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7B597D" w:rsidRPr="007B597D" w:rsidTr="00510BAC">
        <w:trPr>
          <w:trHeight w:val="454"/>
        </w:trPr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Минобрнауки России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Министерство образования и науки Российской Федерации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Организация, осуществляющая образовательную деятельность по имеющей государственную аккредитацию образовательной программе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Обучающиеся, не имеющие академической задолженности, в том числе за итоговое сочинение (изложение), и в полном объеме выполнившие учебный план или индивидуальный учебный план (имеющие </w:t>
            </w: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годовые отметки по всем учебным предметам учебного плана за каждый год обучения по образовательной программе среднего общего образования не ниже удовлетворительных);</w:t>
            </w:r>
          </w:p>
          <w:p w:rsidR="007B597D" w:rsidRPr="007B597D" w:rsidRDefault="007B597D" w:rsidP="007B597D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обучающиеся X - XI (XII) классов, допущенные к ГИА по учебным предметам, освоение которых завершилось ранее, имеющие годовые отметки не ниже удовлетворительных </w:t>
            </w: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 всем учебным предметам учебного плана за предпоследний год обучения;</w:t>
            </w:r>
          </w:p>
          <w:p w:rsidR="007B597D" w:rsidRPr="007B597D" w:rsidRDefault="007B597D" w:rsidP="007B597D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освоившие образовательные программы среднего общего образования в форме самообразования или семейного образования;</w:t>
            </w:r>
          </w:p>
          <w:p w:rsidR="007B597D" w:rsidRPr="007B597D" w:rsidRDefault="007B597D" w:rsidP="007B597D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 по образовательным программам среднего профессионального образования;</w:t>
            </w:r>
          </w:p>
          <w:p w:rsidR="007B597D" w:rsidRPr="007B597D" w:rsidRDefault="007B597D" w:rsidP="007B597D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получающие среднее общее образование в иностранных образовательных организациях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ОИВ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осуществляющие государственное управление в сфере образования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Перевозчик ЭМ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осуществляющая доставку  ЭМ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86" w:type="pct"/>
            <w:vAlign w:val="center"/>
          </w:tcPr>
          <w:p w:rsidR="007B597D" w:rsidRPr="007B597D" w:rsidRDefault="007B597D" w:rsidP="007B597D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Порядок проведения государственной итоговой аттестации по образовательным программам среднего общего образования, утвержденный приказом Минобрнауки России от 26.12.2013 № 1400 (зарегистрирован Минюстом России 03.02.2014, регистрационный № 31205) 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Федеральная служба по надзору в сфере образования и науки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Участники ЕГЭ 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допущенные в установленном порядке к ГИА;</w:t>
            </w:r>
          </w:p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выпускники прошлых лет и другие категории лиц, определенные Порядком,  допущенные к сдаче ЕГЭ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Участники ЕГЭ с ОВЗ, дети-инвалиды и инвалиды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выпускники прошлых лет с ограниченными возможностями здоровья, дети-инвалиды и инвалиды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Специально отведенное помещение (аудитория) в ППЭ для руководителя ППЭ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Экзаменационные материалы ГИА</w:t>
            </w:r>
          </w:p>
        </w:tc>
      </w:tr>
      <w:tr w:rsidR="007B597D" w:rsidRPr="007B597D" w:rsidTr="00510BAC">
        <w:tc>
          <w:tcPr>
            <w:tcW w:w="1314" w:type="pct"/>
          </w:tcPr>
          <w:p w:rsidR="007B597D" w:rsidRPr="007B597D" w:rsidRDefault="007B597D" w:rsidP="007B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ЭР</w:t>
            </w:r>
          </w:p>
        </w:tc>
        <w:tc>
          <w:tcPr>
            <w:tcW w:w="3686" w:type="pct"/>
          </w:tcPr>
          <w:p w:rsidR="007B597D" w:rsidRPr="007B597D" w:rsidRDefault="007B597D" w:rsidP="007B597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B597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Экзаменационные работы</w:t>
            </w:r>
          </w:p>
        </w:tc>
      </w:tr>
    </w:tbl>
    <w:p w:rsidR="007B597D" w:rsidRPr="007B597D" w:rsidRDefault="007B597D" w:rsidP="007B59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97D" w:rsidRPr="007B597D" w:rsidRDefault="007B597D" w:rsidP="007B59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97D" w:rsidRPr="00307E3E" w:rsidRDefault="007B597D" w:rsidP="007B597D">
      <w:pPr>
        <w:keepNext/>
        <w:keepLines/>
        <w:numPr>
          <w:ilvl w:val="0"/>
          <w:numId w:val="17"/>
        </w:numPr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97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 w:type="page"/>
      </w:r>
      <w:bookmarkStart w:id="4" w:name="_Toc439058943"/>
      <w:r w:rsidRPr="0030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  <w:bookmarkEnd w:id="4"/>
    </w:p>
    <w:p w:rsidR="007B597D" w:rsidRPr="00307E3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 ГЭК </w:t>
      </w:r>
      <w:r w:rsidR="00893876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</w:t>
      </w:r>
      <w:r w:rsidR="00ED3E76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3876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Министерством</w:t>
      </w:r>
      <w:r w:rsidR="00ED3E76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627C9A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</w:t>
      </w:r>
      <w:r w:rsidR="00893876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Республики(далее</w:t>
      </w:r>
      <w:r w:rsidR="00627C9A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3876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КЧР) в</w:t>
      </w: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соответствии </w:t>
      </w:r>
      <w:r w:rsidR="00893876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</w:t>
      </w:r>
      <w:r w:rsidR="00307E3E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 </w:t>
      </w:r>
      <w:r w:rsidR="00893876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методических</w:t>
      </w:r>
      <w:r w:rsidR="00ED3E76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екомендаций</w:t>
      </w:r>
      <w:r w:rsidR="00ED3E76" w:rsidRPr="00307E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Рособрнадзора</w:t>
      </w: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97D" w:rsidRPr="00307E3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 ГЭК определяются цели, порядок формирования, структура ГЭК, полномочия и функции, а также порядок организации работы ГЭК. </w:t>
      </w:r>
    </w:p>
    <w:p w:rsidR="007B597D" w:rsidRPr="00307E3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ГЭК </w:t>
      </w:r>
      <w:r w:rsidRPr="00307E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E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распределение ее полномочий </w:t>
      </w: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7E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рекомендуется конкретизировать с учетом особенностей схемы проведения ГИА, реализуемой</w:t>
      </w:r>
      <w:r w:rsidR="00307E3E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Карачаево-Черкесской Республике</w:t>
      </w: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597D" w:rsidRPr="00307E3E" w:rsidRDefault="007B597D" w:rsidP="007B597D">
      <w:pPr>
        <w:keepNext/>
        <w:keepLines/>
        <w:numPr>
          <w:ilvl w:val="0"/>
          <w:numId w:val="17"/>
        </w:numPr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439058944"/>
      <w:r w:rsidRPr="0030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5"/>
    </w:p>
    <w:p w:rsidR="007B597D" w:rsidRPr="00307E3E" w:rsidRDefault="00ED3E76" w:rsidP="00ED3E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B597D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создается для проведения ГИА в ц</w:t>
      </w: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елях определения соответствия  </w:t>
      </w:r>
      <w:r w:rsidR="007B597D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ED3E76" w:rsidRPr="00307E3E" w:rsidRDefault="00ED3E76" w:rsidP="00ED3E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2.2.ГЭК осуществляет:</w:t>
      </w:r>
    </w:p>
    <w:p w:rsidR="007B597D" w:rsidRPr="00307E3E" w:rsidRDefault="00ED3E76" w:rsidP="00ED3E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597D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 координацию работы по подготовке и проведению</w:t>
      </w:r>
      <w:r w:rsidR="007B597D" w:rsidRPr="00307E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ГИА;</w:t>
      </w:r>
    </w:p>
    <w:p w:rsidR="007B597D" w:rsidRPr="00307E3E" w:rsidRDefault="00ED3E76" w:rsidP="00ED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7B597D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соблюдения прав </w:t>
      </w:r>
      <w:r w:rsidR="007B597D" w:rsidRPr="00307E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участников ГИА </w:t>
      </w:r>
      <w:r w:rsidR="007B597D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ГИА.</w:t>
      </w:r>
    </w:p>
    <w:p w:rsidR="007B597D" w:rsidRPr="00ED3E76" w:rsidRDefault="00ED3E76" w:rsidP="00ED3E76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2.3.</w:t>
      </w:r>
      <w:r w:rsidR="007B597D" w:rsidRPr="00307E3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в своей работе руководствуется</w:t>
      </w:r>
      <w:r w:rsidR="007B597D" w:rsidRPr="00ED3E7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B597D" w:rsidRPr="00C6728E" w:rsidRDefault="007B597D" w:rsidP="007B597D">
      <w:p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 Российской Федерации»;</w:t>
      </w:r>
    </w:p>
    <w:p w:rsidR="007B597D" w:rsidRPr="00C6728E" w:rsidRDefault="007B597D" w:rsidP="007B597D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31.08.2013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образования»;</w:t>
      </w:r>
    </w:p>
    <w:p w:rsidR="007B597D" w:rsidRPr="00C6728E" w:rsidRDefault="007B597D" w:rsidP="007B597D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государственной итоговой аттестации по образовательным программам среднего общего образования, утвержденным приказом Министерства образования и науки Российской Федерации от </w:t>
      </w:r>
      <w:r w:rsidR="00893876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26.12.2013 №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1400 (зарегистрирован Минюстом России 03.02.2014, регистрационный   № 31205);</w:t>
      </w:r>
    </w:p>
    <w:p w:rsidR="007B597D" w:rsidRPr="00C6728E" w:rsidRDefault="007B597D" w:rsidP="007B597D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и инструктивными документами субъекта Российской Федерации по вопросам организации и проведения ГИА в субъекте Российской Федерации;</w:t>
      </w:r>
    </w:p>
    <w:p w:rsidR="007B597D" w:rsidRPr="00C6728E" w:rsidRDefault="007B597D" w:rsidP="007B597D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документами Рособрнадзора по вопросам организационного и технологического сопровождения ГИА;</w:t>
      </w:r>
    </w:p>
    <w:p w:rsidR="007B597D" w:rsidRPr="00C6728E" w:rsidRDefault="007B597D" w:rsidP="007B597D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по вопросам организации и проведения ГИА;</w:t>
      </w:r>
    </w:p>
    <w:p w:rsidR="007B597D" w:rsidRPr="00C6728E" w:rsidRDefault="007B597D" w:rsidP="007B597D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 ГЭК.</w:t>
      </w:r>
    </w:p>
    <w:p w:rsidR="007B597D" w:rsidRPr="00C6728E" w:rsidRDefault="007B597D" w:rsidP="007B597D">
      <w:pPr>
        <w:keepNext/>
        <w:keepLines/>
        <w:numPr>
          <w:ilvl w:val="0"/>
          <w:numId w:val="17"/>
        </w:numPr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439058945"/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и структура ГЭК</w:t>
      </w:r>
      <w:bookmarkEnd w:id="6"/>
    </w:p>
    <w:p w:rsidR="007B597D" w:rsidRPr="00C6728E" w:rsidRDefault="00627C9A" w:rsidP="007B597D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Карачаево-Черкесской Республики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создают ГЭК и организуют их деятельность, направляют предложения в Рособрнадзор о кандидатуре председателя ГЭК и его заместителе для утверждения не позднее чем за два месяца до завершения срока подачи заявления на участие в ГИА и (или) в соответствии с письмом-запросом Рособрнадзора.</w:t>
      </w:r>
    </w:p>
    <w:p w:rsidR="007B597D" w:rsidRPr="00C6728E" w:rsidRDefault="00627C9A" w:rsidP="007B597D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Состав ГЭК формируется из ч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 представителей Министерства образования и науки КЧР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исполнительной власти субъектов Российской Федерации, осуществляющих переданные полномочия в сфере образования, органов местного самоуправления, организаций, осуществляющих образовательную деятельность, научных, общественных и иных организаций и объединений, представителей Рособрнадзора. </w:t>
      </w:r>
    </w:p>
    <w:p w:rsidR="007B597D" w:rsidRPr="00C6728E" w:rsidRDefault="007B597D" w:rsidP="007B597D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персонального состава ГЭК необходимо исключить возможность возникновения конфликта интересов.</w:t>
      </w:r>
      <w:r w:rsidRPr="00C672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состав ГЭК (за исключением председателя ГЭК и его заместителя) утверждаются распорядительным актом ОИВ.</w:t>
      </w:r>
    </w:p>
    <w:p w:rsidR="007B597D" w:rsidRPr="00C6728E" w:rsidRDefault="007B597D" w:rsidP="007B597D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структуры ГЭК рекомендуется формировать президиум ГЭК в составе не более 20 человек. Президиум создается в целях рассмотрения общих вопросов по проведению ГИА, а также для принятия коллегиального решения по вопросам, перечисленным в п. 3.4 настоящих Методических рекомендаций. </w:t>
      </w:r>
    </w:p>
    <w:p w:rsidR="007B597D" w:rsidRPr="00C6728E" w:rsidRDefault="007B597D" w:rsidP="007B597D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ГЭК: председатель ГЭК, заместитель председателя ГЭК, ответственный секретарь ГЭК, члены ГЭК, входящие в состав президиума ГЭК, члены ГЭК.</w:t>
      </w:r>
    </w:p>
    <w:p w:rsidR="007B597D" w:rsidRPr="00C6728E" w:rsidRDefault="00627C9A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КЧР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 информирование участников ГИА, их родителей (законных представителей) о  Положении о ГЭК  через организации, осуществляющие образовательную деятельность, и органы местного самоуправления, осуществляющие управление в сфере образования, а также путем взаимодействия со средствами массовой информации, организации работы телефонов «горячей линии» и ведения раздела на официальных сайтах в сети «Интернет»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КЧР 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специализированных сайтах не позднее чем за два месяца до завершения срока подачи заявления на участие в ГИА.</w:t>
      </w:r>
    </w:p>
    <w:p w:rsidR="007B597D" w:rsidRPr="00C6728E" w:rsidRDefault="007B597D" w:rsidP="007B597D">
      <w:pPr>
        <w:keepNext/>
        <w:keepLines/>
        <w:numPr>
          <w:ilvl w:val="0"/>
          <w:numId w:val="17"/>
        </w:numPr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439058946"/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и функции ГЭК</w:t>
      </w:r>
      <w:bookmarkEnd w:id="7"/>
    </w:p>
    <w:p w:rsidR="007B597D" w:rsidRPr="00C6728E" w:rsidRDefault="00627C9A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ГЭК осуществляет деятельность в период подготовки, проведения и подведения итогов проведения ГИА в 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Республике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97D" w:rsidRPr="00C6728E" w:rsidRDefault="00627C9A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ГЭК прекращает свою деятельность с момента утверждения Рособрнадзором председателя и заместителя председателя ГЭК для проведения ГИА в 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Республике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следующем году.</w:t>
      </w:r>
    </w:p>
    <w:p w:rsidR="007B597D" w:rsidRPr="00C6728E" w:rsidRDefault="00627C9A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 рамках организации и координации работы по подготовке и проведению ГИА ГЭК выполняет следующие задачи: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и координирует работу по подготовке и проведению ГИА на территории субъекта Российской Федерации;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установленного порядка проведения ГИА на территории субъекта Российской Федерации;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прав участников ГИА при проведении ГИА.</w:t>
      </w:r>
    </w:p>
    <w:p w:rsidR="007B597D" w:rsidRPr="00C6728E" w:rsidRDefault="00627C9A" w:rsidP="007B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B597D" w:rsidRPr="00C67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.4. В рамках подготовки и проведения ГИА ГЭК проводит следующую работу: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 с </w:t>
      </w:r>
      <w:r w:rsidR="00627C9A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и науки КЧР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регистрации на сдачу ЕГЭ, места расположения ППЭ и распределение между ними участников ГИА, составы руководителей и организаторов ППЭ, технических специалистов и ассистентов для лиц, указанных в пункте 37 Порядка;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 оборудовании ППЭ системами подавления сигналов подвижной связи;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 осуществлении РЦОИ автоматизированного распределения участников ГИА и организаторов по аудиториям ППЭ;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 проведении сканирования ЭМ участников ГИА в Штабе ППЭ;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 рассматривает от председателя ПК протоколы ПК о распределении экзаменационных работ ГВЭ, расчете окончательных баллов экзаменационных работ ГВЭ;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предложения по составу ПК, по кандидатурам экспертов, предлагаемых для включения в состав ПК, создаваемых Рособрнадзором;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информацию, представленную председателем ПК, о нарушении экспертом установленного порядка проведения ГИА;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информацию от КК о принятых решениях по участникам ГИА и (или) их родителям (законным представителям), подавшим апелляции;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марта следующего года принимает решение о проведении перепроверки отдельных экзаменационных работ участников ГИА;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у уполномоченных лиц и организаций необходимые документы и сведения, в том числе ЭР, сведения о лицах, присутствовавших в ППЭ, и другие сведения о соблюдении порядка проведения ГИА, проводит проверку по фактам нарушения установленного порядка проведения ГИА, в том числе по нарушениям, выявленным с помощью материалов видеонаблюдения (для принятия председателем ГЭК (заместителем председателя ГЭК) решения об аннулировании результата ГИА в связи с нарушением установленного порядка проведения ГИА);  </w:t>
      </w:r>
      <w:bookmarkStart w:id="8" w:name="_GoBack"/>
      <w:bookmarkEnd w:id="8"/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 РЦОИ, уполномоченной организации соответствующие данные о результатах ЕГЭ по завершении проверки ЭР участников ЕГЭ, в том числе получает от уполномоченной организации результаты централизованной проверки ЭР ЕГЭ;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 ознакомлении участников ГИА с полученными ими результатами ГИА по учебному предмету с использованием информационно-коммуникационных технологий в соответствии с требованиями законодательства Российской Федерации в области защиты персональных данных;</w:t>
      </w:r>
    </w:p>
    <w:p w:rsidR="007B597D" w:rsidRPr="00C6728E" w:rsidRDefault="007B597D" w:rsidP="007B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 организации подачи и (или) рассмотрения апелляций с использованием информационно-коммуникационных технологий, при условии соблюдения требований законодательства Российской Федерации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области защиты персональных данных;</w:t>
      </w:r>
    </w:p>
    <w:p w:rsidR="007B597D" w:rsidRPr="00C6728E" w:rsidRDefault="007B597D" w:rsidP="007B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C9A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  решение  Министерство образования и науки Карачаево-Черкесской Республики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переносе сдачи экзамена в другой ППЭ или на другой день, предусмотренный расписаниями проведения ЕГЭ и ГВЭ в случае угрозы возникновения чрезвычайной ситуации;</w:t>
      </w:r>
    </w:p>
    <w:p w:rsidR="007B597D" w:rsidRPr="00C6728E" w:rsidRDefault="007B597D" w:rsidP="007B59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 информацию, представленн</w:t>
      </w:r>
      <w:r w:rsidR="00627C9A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Министерством образования и науки КЧР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 количестве участников ГИА, указанных в п. 37 Порядка, в ППЭ и о необходимости организации проведения ГИА в условиях, учитывающих состояние их здоровья, особенности психофизического развития, которая направляется в ППЭ не позднее двух рабочих дней до проведения экзамена по соответствующему учебному предмету.</w:t>
      </w:r>
    </w:p>
    <w:p w:rsidR="007B597D" w:rsidRPr="00C6728E" w:rsidRDefault="007B597D" w:rsidP="00C672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 в соответствии с Положением о ГЭК и Порядком.</w:t>
      </w:r>
    </w:p>
    <w:p w:rsidR="007B597D" w:rsidRPr="00C6728E" w:rsidRDefault="007A66E5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B597D"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.5. В рамках подготовки и проведения ГИА председатель ГЭК (заместитель председателя ГЭК) осуществляет общее руководство и координацию деятельности ГЭК, в том числе проводит следующую работу: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формирование состава ГЭК;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 предложения</w:t>
      </w:r>
      <w:r w:rsidR="007A66E5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КЧР</w:t>
      </w:r>
      <w:r w:rsidRPr="00C6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персональному составу руководителей и организаторов ППЭ, техническим специалистам и ассистентам для лиц, указанных в пункте 37 Порядка, местам регистрации на сдачу ЕГЭ и местам расположения ППЭ и распределению между ними обучающихся и выпускников прошлых лет;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формирование составов ПК, представляет на согласование в Рособрнадзор кандидатуры председателей предметных комиссий, по представлению председателей предметных комиссий определяет кандидатуры членов предметных комиссий, направляемых для включения в состав предметных комиссий, создаваемых Рособрнадзором;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 направлении членов ГЭК в ППЭ, РЦОИ, ПК и КК, а также в места хранения ЭМ для осуществления контроля за проведением ГИА;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угрозы возникновения чрезвычайной ситуации согласует предложения </w:t>
      </w:r>
      <w:r w:rsidR="007A66E5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КЧР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 переносе сдачи ГИА в другой ППЭ или на другой день, предусмотренный единым расписанием экзаменов;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вопросы о нарушении установленного порядка проведения ГИА лицами, привлекаемыми к проведению ГИА, принимает меры по устранению нарушений, в том числе принимает решение об отстранении указанных лиц от работ, связанных с проведением ГИА;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каждого экзамена рассматривает информацию, полученную от членов ГЭК, общественных наблюдателей, должностных лиц Рособрнадзора, органа исполнительной власти субъекта Российской Федерации, осуществляющего переданные полномочия Российской Федерации в сфере образования, и иных лиц о нарушениях, выявленных при проведении ГИА, принимает меры по противодействию нарушениям установленного порядка проведения ГИА, в том числе организует проведение проверок по фактам нарушения установленного порядка проведения ГИА, принимает решение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 отстранении лиц, нарушивших устанавливаемый порядок проведения ГИА, от работ, связанных с проведением ГИА;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 решение членов ГЭК об остановке экзамена в ППЭ или отдельных аудиториях ППЭ;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 принимает решения по актам, переданным членами ГЭК, по факту неисправного состояния, отключения средств видеонаблюдения или отсутствия видеозаписи экзамена;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Calibri" w:hAnsi="Times New Roman" w:cs="Times New Roman"/>
          <w:sz w:val="28"/>
          <w:szCs w:val="28"/>
        </w:rPr>
        <w:t xml:space="preserve">принимает решения о допуске (повторном допуске в дополнительные сроки) к сдаче ГИА в случаях, установленных Порядком, в том числе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 допуске к сдаче ГИА в дополнительные сроки обучающихся и выпускников прошлых лет, не имеющих возможности участвовать в ГИА в основные сроки проведения ГИА по религиозным убеждениям;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заявления не позднее чем за две недели до начала соответствующих экзаменов от обучающихся об изменении (дополнении) выбора учебного предмета (перечня учебных предметов) и принимает конкретное решение об уважительности или неуважительности причины изменения каждым обучающимся выбора учебного предмета (перечня учебных предметов), указанного в заявлениях;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после 1 февраля заявления об участии в ГИА обучающихся, выпускников прошлых лет, лиц, обучающихся по образовательным программам среднего профессионального образования, а также обучающихся, получающих среднее общее образование в иностранных образовательных организациях, при наличии у заявителей уважительных причин (болезни или иных обстоятельств, подтвержденных документально);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заявления от обучающихся об изменении формы проведения ГИА и принимает конкретное решение об уважительности или неуважительности причины изменения формы проведения ГИА каждым обучающимся. </w:t>
      </w:r>
      <w:r w:rsidRPr="00C672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7B597D" w:rsidRPr="00C6728E" w:rsidRDefault="007A66E5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B597D"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.6. В рамках рассмотрения результатов ГИА председатель ГЭК (заместитель председателя ГЭК) проводит следующую работу: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результаты проведения ГИА по каждому учебному предмету и принимает решение об утверждении, изменении и (или) аннулировании результатов ГИА;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перепроверки ЭР обучающихся, выпускников прошлых лет принимает решение о сохранении результатов ГИА или об изменении результатов ГИА согласно протоколам перепроверки ЭР обучающихся, выпускников прошлых лет;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КК была удовлетворена апелляция участника ГИА о нарушении установленного порядка проведения ГИА, принимает решение об аннулировании результата ГИА данного участника ГИА по соответствующему учебному предмету, а также о его допуске к ГИА в дополнительные сроки;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КК была удовлетворена апелляция участника ГИА о несогласии с выставленными баллами, принимает решение об изменении результата ГИА согласно протоколам КК;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 аннулировании результатов ГИА по соответствующему учебному предмету при установлении фактов нарушения порядка проведения ГИА со стороны участников ГИА или лиц, перечисленных в пункте 40 Порядка, отсутствия (неисправного состояния) средств видеонаблюдения.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</w:t>
      </w:r>
      <w:proofErr w:type="gramStart"/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повторном</w:t>
      </w:r>
      <w:proofErr w:type="gramEnd"/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допуске к сдаче экзаменов в текущем году по соответствующему учебному предмету в дополнительные сроки: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получивших на ГИА неудовлетворительный результат по одному из обязательных учебных предметов;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 выпускников прошлых лет, не явившихся на экзамены по уважительным причинам (болезнь или иные обстоятельства, подтвержденные документально);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 выпускников прошлых лет, не завершивших выполнение экзаменационной работы по уважительным причинам (болезнь или иные обстоятельства, подтвержденные документально);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 выпускников прошлых лет, которым КК удовлетворила апелляцию о нарушении устанавливаемого порядка проведения ГИА;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 выпускников прошлых лет, чьи результаты были аннулированы по решению председателя ГЭК в случае выявления фактов нарушения установленного порядка проведения ГИА, совершенных лицами, указанными в пункте 40 Порядка, или иными (в том</w:t>
      </w:r>
      <w:r w:rsid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неустановленными) лицами.</w:t>
      </w:r>
    </w:p>
    <w:p w:rsidR="007B597D" w:rsidRPr="00C6728E" w:rsidRDefault="007A66E5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B597D"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</w:t>
      </w:r>
      <w:r w:rsidR="007B597D"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Член ГЭК имеет право: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с экзамена участников ГИА, организаторов ППЭ, общественных наблюдателей, представителей СМИ и иных лиц, нарушающих порядок проведения ГИА;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об остановке экзамена в данном ППЭ или в отдельно взятой аудитории в случае грубых нарушений, ведущих к массовому искажению результатов ГИА, по согласованию с председателем ГЭК (заместителем председателя ГЭК).  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ГЭК несет ответственность за: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целостность, полноту и сохранность доставочных спецпакетов с ИК, возвратных доставочных пакетов и пакета для руководителя ППЭ при передаче их в ППЭ в день экзамена и из ППЭ в РЦОИ для последующей обработки (за исключением случаев, когда доставка ЭМ в ППЭ и РЦОИ осуществляется Перевозчиками ЭМ;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проведения проверки фактов о нарушении установленного порядка ГИА в ППЭ в случае подачи участником ГИА апелляции о нарушении процедуры проведения экзамена и предоставление всех материалов рассмотрения апелляции в КК в тот же день;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информационной безопасности на всех этапах проведения ГИА;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незамедлительное информирование председателя ГЭК о факте компрометации ключа шифрования члена ГЭК, записанного на защищенном внешнем носителе –токене (далее – токен члена ГЭК). 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члена ГЭК возлагается обязанность по фиксированию всех случаев нарушения порядка проведения ГИА в ППЭ.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председателя ГЭК (заместителя председателя ГЭК) допускается присутствие в ППЭ нескольких членов ГЭК, осуществляющих контроль за проведением экзамена.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подготовки и проведения ГИА члены ГЭК должны:</w:t>
      </w:r>
    </w:p>
    <w:p w:rsidR="007B597D" w:rsidRPr="00C6728E" w:rsidRDefault="007B597D" w:rsidP="007B59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подготовку по порядку исполнения своих обязанностей в период проведения ГИА;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 нормативными правовыми документами, методическими рекомендациями Рособрнадзора;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готовности ППЭ по решению председателя ГЭК не позднее чем за две недели до начала экзаменов;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присутствовать в ППЭ в день проведения экзамена (информируются о месте расположения ППЭ, в который они направляются, не ранее чем за три рабочих дня до проведения экзамена по соответствующему учебному предмету);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в РЦОИ токен члена ГЭК, далее действовать в соответствии с инструкциями для члена ГЭК, которые представлены в приложениях 7 и 11 </w:t>
      </w:r>
      <w:r w:rsidRPr="00C6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Методических рекомендаций по подготовке и проведению единого государственного экзамена в пунктах проведения экзаменов в 2016 году (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назначения на экзамен по иностранным языкам с включенным разделом «Говорение» или использования в ППЭ КИМ в электронном виде);   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доставку ЭМ в ППЭ в день проведения экзамена не позднее 07.30 по местному времени в день проведения экзамена;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ЭМ руководителю ППЭ в Штабе ППЭ по форме ППЭ-14-01 «Акт приема-передачи экзаменационных материалов в ППЭ» или по форме ППЭ-14-01-У «Акт приемки-передачи экзаменационных материалов в ППЭ по иностранным языкам в устной форме»;</w:t>
      </w:r>
    </w:p>
    <w:p w:rsidR="007B597D" w:rsidRPr="00C6728E" w:rsidRDefault="007B597D" w:rsidP="007B59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с руководителем и организаторами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 в сфере образования, присутствующими в ППЭ, по вопросам соблюдения установленного порядка проведения ГИА;</w:t>
      </w:r>
    </w:p>
    <w:p w:rsidR="007B597D" w:rsidRPr="00C6728E" w:rsidRDefault="007B597D" w:rsidP="007B59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прием ЭМ в случае, когда доставка ЭМ осуществляется Перевозчиком ЭМ (в соответствии с Методическими рекомендациями по организации доставки экзаменационных материалов для проведения государственной итоговой аттестации по образовательным программам среднего общего образования в форме единого государственного экзамена в субъекты Российской Федерации); </w:t>
      </w:r>
    </w:p>
    <w:p w:rsidR="007B597D" w:rsidRPr="00C6728E" w:rsidRDefault="007B597D" w:rsidP="007B59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проведении руководителем ППЭ инструктажа организаторов ППЭ, который проводится не ранее 8.15 по местному времени;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при организации входа участников ГИА в ППЭ и осуществляет контроль за выполнением требования о запрете участникам ГИА, организаторам, ассистентам, оказывающим необходимую техническую помощь участникам ГИА с ОВЗ, детям-инвалидам и инвалидам, техническим специалистам, медицинским работникам иметь при себе средства связи, в том числе осуществляет контроль за организацией сдачи иных вещей (не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перечисленных в п. 45 Порядка) в специально выделенном до входа в ППЭ местах для хранения личных вещей участников ГИА, работников ППЭ;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при составлении руководителем ППЭ акта о недопуске участника ГИА, отказавшегося от сдачи запрещенного средства. (Указанный акт подписывают член ГЭК, руководитель </w:t>
      </w:r>
      <w:proofErr w:type="gramStart"/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</w:t>
      </w:r>
      <w:proofErr w:type="gramEnd"/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участник ГИА, отказавшийся от сдачи запрещенного средства. Акт составляется в двух экземплярах в свободной форме. Первый экземпляр оставляет член ГЭК для передачи председателю ГЭК, второй – участнику ГИА);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при заполнении сопровождающим формы ППЭ-20 «Акт об идентификации личности участника ГИА» в случае отсутствия у обучающегося документа, удостоверяющего личность; 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отсутствия документа, удостоверяющего личность, у выпускника прошлых лет, обучающегося по образовательным программам среднего профессионального образования, а также обучающегося, получающего среднее общее образование в иностранных образовательных организациях, они не допускаются в ППЭ;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составлении акта руководителем ППЭ о недопуске участников ГИА в ППЭ, подписать акт в двух экземплярах, первый экземпляр направить председателю ГЭК;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опоздания участника ГИА на экзамен, он допускается к сдаче ЕГЭ в установленном порядке, при этом время окончания экзамена не продлевается, о чем сообщается участнику ЕГЭ. Повторный общий инструктаж для опоздавших участников ЕГЭ не проводится. В этом случае организаторы предоставляют необходимую информацию для заполнения регистрационных полей бланков ЕГЭ;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составлении акта в свободной форме по указанной выше ситуации. Указанный акт подписывает участник ЕГЭ, руководитель ППЭ и член ГЭК;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решение о завершении экзамена в ППЭ с оформлением соответствующих форм ППЭ в  случае неявки всех распределенных в ППЭ участников ГИА более чем на два часа от начала проведения экзамена (10.00) (по согласованию с председателем ГЭК или заместителем председателя ГЭК)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установленного порядка проведения ГИА в ППЭ, РЦОИ, ПК и КК, а также в местах  хранения ЭМ;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решения об удалении с экзамена обучающихся, выпускников прошлых лет, а также иных лиц, находящихся в ППЭ, в случае выявления нарушений установленного порядка проведения ГИА; 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соблюдение порядка проведения ГИА в ППЭ, в том числе не допускают наличие в ППЭ (аудиториях, коридорах, туалетных комнатах, медицинском пункте и т.д.) у участников ГИА, организаторов в аудитории (вне аудиторий), технических специалистов, медицинских работников, ассистентов средств связи, электронно-вычислительной техники, фото, аудио и видеоаппаратуры, справочных материалов, письменных заметок и иных средств хранения и передачи информации; 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выноса из аудиторий и ППЭ ЭМ на бумажном или электронном носителях, письменных заметок и иных средств хранения и передачи информации, а также фотографирования ЭМ, а также во время выполнения экзаменационной работы участниками не допускает выноса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участниками ГИА из аудиторий письменных принадлежностей и письменных заметок;</w:t>
      </w:r>
      <w:r w:rsidRPr="00C6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присутствовать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728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 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Штабе ППЭ </w:t>
      </w:r>
      <w:r w:rsidRPr="00C6728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при вскрытии резервного доставочного 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спецпакета с ИК в случае необходимости проведения замены ИК (в случаях наличия полиграфических дефектов, непреднамеренной порчи и др.);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приходить в медицинский кабинет (в случае если участник ГИА по состоянию здоровья или другим объективным причинам не может завершить выполнение экзаменационной работы) для контроля подтверждения (</w:t>
      </w:r>
      <w:proofErr w:type="spellStart"/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неподтверждения</w:t>
      </w:r>
      <w:proofErr w:type="spellEnd"/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медицинским работником ухудшения состояния здоровья участника ГИА по приглашению организатора вне аудитории;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форму ППЭ-22 «Акт о досрочном завершении экзамена по объективным причинам» в медицинском кабинете (или в Штабе ППЭ в зависимости от состояния здоровья указанного участника) в зоне видимости камер видеонаблюдения совместно с медицинским работником, ответственным организатором в аудитории в случае подтверждения медицинским работником ухудшения состояния здоровья участника ГИА и при его согласии досрочно завершить экзамен;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форму ППЭ-21 «Акт об удалении участника ЕГЭ с экзамена» совместно с руководителем ППЭ и ответственным организатором в аудитории в Штабе ППЭ в случае принятия решения об удалении с экзамена участника ГИА в зоне видимости камер видеонаблюдения;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наличия соответствующих отметок («Удален с экзамена в связи с нарушением порядка проведения ЕГЭ» и (или) «Не закончил экзамен по уважительной причине»</w:t>
      </w:r>
      <w:proofErr w:type="gramStart"/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поставленных</w:t>
      </w:r>
      <w:proofErr w:type="gramEnd"/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организатором в аудитории в бланках регистрации таких участников ЕГЭ, в случае заполнения форм ППЭ-21 «Акт об удалении участника ЕГЭ с экзамена» и (или) ППЭ-22 «Акт о досрочном завершении экзамена по объективным причинам»; 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об остановке экзамена в ППЭ или в отдельных аудиториях ППЭ по согласованию с председателем ГЭК (заместителем председателя ГЭК) в случае отсутствия средств видеонаблюдения, неисправного состояния или отключения указанных средств во время проведения экзамена, которое приравнивается к отсутствию видеозаписи экзамена, а также при форс-мажорных обстоятельствах, с последующим составлением соответствующих актов в свободной форме;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вместе с руководителем ППЭ при проведении копирования ЭМ в увеличенном размере для слабовидящих участников ГИА в день проведения экзамена в Штабе ППЭ;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вместе с руководителем ППЭ при распечатывании ответов участников ГИА с ОВЗ на ЭР, выполненных на компьютере, и их переносе ассистентами, в стандартные бланки ЕГЭ;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руководителю ППЭ в решении возникающих в процессе экзамена ситуаций, не регламентированных Порядком;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апелляции участников ГИА о нарушении установленного порядка проведения ГИА (за исключением случаев, установленных пунктом 77 Порядка) в день проведения экзамена до момента выхода апеллянта из ППЭ, в том числе: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организовать проведение проверки, изложенных в апелляции сведений, о нарушении порядка проведения ГИА при участии организаторов, не задействованных в аудитории, в которой сдавал экзамен участник ГИА,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 и заполняет форму ППЭ-03 «Протокол рассмотрения апелляции о нарушении установленного Порядка проведения ГИА» в Штабе ППЭ в зоне видимости камер видеонаблюдения;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апелляцию о нарушении порядка проведения ГИА и заключение о результатах проверки в КК в день проведения экзамена.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завершении экзамена члены ГЭК должны: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 процессом сканирования ЭМ в Штабе ППЭ и действуют в соответствии с инструкцией для члена ГЭК, представленной в приложении 16 Методических рекомендаций по подготовке и проведению единого государственного экзамена в пунктах проведения экзаменов в 2016 году; 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осуществлять контроль за получением ЭМ руководителем ППЭ от ответственных организаторов в аудитории в Штабе ППЭ в зоне видимости видеокамер;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необходимые протоколы по результатам проведения ЕГЭ в ППЭ совместно с руководителем ППЭ 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ППЭ 14-01 «Акт приёмки-передачи экзаменационных материалов в ППЭ»;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ППЭ 13-01 «Протокол проведения ЕГЭ в ППЭ»;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ППЭ 13-02 МАШ «Сводная ведомость учёта участников и использования экзаменационных материалов в ППЭ»;</w:t>
      </w:r>
    </w:p>
    <w:p w:rsidR="007B597D" w:rsidRPr="00C6728E" w:rsidRDefault="007B597D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ППЭ-14-02 «Ведомость выдачи и возврата экзаменационных материалов по аудиториям ППЭ».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отчет (форма ППЭ-10) о проведении ЕГЭ в ППЭ и  в тот же день передают его в ГЭК;</w:t>
      </w:r>
    </w:p>
    <w:p w:rsidR="007B597D" w:rsidRPr="00C6728E" w:rsidRDefault="007B597D" w:rsidP="007B59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упаковки, доставки ЭМ действовать в соответствии с Методическими рекомендациями по организации доставки экзаменационных материалов для проведения государственной итоговой аттестации по образовательным  программам среднего общего образования в форме единого государственного экзамена в субъекты Российской Федерации;</w:t>
      </w:r>
    </w:p>
    <w:p w:rsidR="007B597D" w:rsidRPr="00C6728E" w:rsidRDefault="007B597D" w:rsidP="007B597D">
      <w:pPr>
        <w:keepNext/>
        <w:keepLines/>
        <w:numPr>
          <w:ilvl w:val="0"/>
          <w:numId w:val="17"/>
        </w:numPr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439058947"/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председателя (заместителя председателя), ответственного секретаря и членов ГЭК</w:t>
      </w:r>
      <w:bookmarkEnd w:id="9"/>
    </w:p>
    <w:p w:rsidR="007B597D" w:rsidRPr="00C6728E" w:rsidRDefault="007A66E5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Председатель ГЭК, утвержденный Рособрнадзором, осуществляет общее руководство работой ГЭК, в том числе определяет план работы ГЭК, распределяет обязанности между членами ГЭК, ведет заседания ГЭК, подписывает протоколы заседаний ГЭК, контролирует исполнение решений ГЭК. Председатель ГЭК несет персональную ответственность за принятые решения.</w:t>
      </w:r>
    </w:p>
    <w:p w:rsidR="007B597D" w:rsidRPr="00C6728E" w:rsidRDefault="007A66E5" w:rsidP="007B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 случае временного отсутствия председателя ГЭК его обязанности исполняет заместитель председателя ГЭК. Заместитель председателя ГЭК 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координацию работы членов ГЭК осуществляет контроль за выполнением плана работы ГЭК.</w:t>
      </w:r>
    </w:p>
    <w:p w:rsidR="007B597D" w:rsidRPr="00C6728E" w:rsidRDefault="007A66E5" w:rsidP="007B5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Ответственный секретарь ГЭК ведет протоколы заседаний ГЭК, организует делопроизводство ГЭК, осуществляет контроль за своевременным представлением материалов для рассмотрения на заседаниях ГЭК, несет ответственность за сохранность документов и иных материалов, рассматриваемых на заседаниях ГЭК. </w:t>
      </w:r>
    </w:p>
    <w:p w:rsidR="007B597D" w:rsidRPr="00C6728E" w:rsidRDefault="007A66E5" w:rsidP="007B5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Председатель, его заместитель, члены ГЭК несут ответственность за соответствие деятельности ГЭК требованиям законодательных и иных нормативных правовых актов.</w:t>
      </w:r>
    </w:p>
    <w:p w:rsidR="007B597D" w:rsidRPr="00C6728E" w:rsidRDefault="007B597D" w:rsidP="007B597D">
      <w:pPr>
        <w:keepNext/>
        <w:keepLines/>
        <w:numPr>
          <w:ilvl w:val="0"/>
          <w:numId w:val="17"/>
        </w:numPr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439058948"/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ГЭК</w:t>
      </w:r>
      <w:bookmarkEnd w:id="10"/>
    </w:p>
    <w:p w:rsidR="007B597D" w:rsidRPr="00C6728E" w:rsidRDefault="007A66E5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ГЭК проводит свои заседания в соответствии с утвержденным председателем ГЭК графиком работы. </w:t>
      </w:r>
      <w:r w:rsidR="007B597D" w:rsidRPr="00C672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597D" w:rsidRPr="00C672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случае необходимости председателем ГЭК может быть назначено внеплановое заседание ГЭК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597D" w:rsidRPr="00C6728E" w:rsidRDefault="007A66E5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Решения ГЭК, перечисленные в п. 3.4 настоящих Методических рекомендаций, принимаются простым большинством голосов президиума ГЭК. В случае равенства голосов решающим является голос председателя ГЭК (заместителя председателя ГЭК). Решение, в том числе единоличное решение председателя ГЭК (заместителя председателя ГЭК) (п. 19 Порядка и п. 3.5-3.6 настоящих Методических рекомендаций), оформляется протоколом (приложение 1), который подписывается председателем ГЭК, заместителем председателя ГЭК и ответственным секретарем ГЭК</w:t>
      </w:r>
      <w:r w:rsidR="007B597D" w:rsidRPr="00C672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597D" w:rsidRPr="00C6728E" w:rsidRDefault="007A66E5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Решения ГЭК в рамках полномочий являются обязательными для всех лиц, участвующих в подготовке и проведении ГИА. Организация исполнения решений ГЭК обеспечивается распорядительными актами ОИВ.</w:t>
      </w:r>
    </w:p>
    <w:p w:rsidR="007B597D" w:rsidRPr="00C6728E" w:rsidRDefault="007A66E5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 итогам проведения каждого экзамена ГЭК готовит информацию о выявленных нарушениях во время проведения экзамена и принятых мерах, которая направляется в 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КЧР</w:t>
      </w:r>
      <w:r w:rsidR="007B597D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597D" w:rsidRPr="00C6728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ГЭК в текущем году готовится итоговая справка о проведении ГИА в субъекте Российской Федерации, включающая сведения о составе участников, результатах ГИА, имевших место нарушениях порядка проведения ГИА. Справка подписывается председателем ГЭК, заместителем председателя ГЭК и направляется в </w:t>
      </w:r>
      <w:r w:rsidR="007A66E5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КЧР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97D" w:rsidRPr="00C6728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7D" w:rsidRPr="00C6728E" w:rsidRDefault="007B597D" w:rsidP="007B597D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  <w:bookmarkStart w:id="11" w:name="_Toc439058949"/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1. Образец протокола ГЭК</w:t>
      </w:r>
      <w:bookmarkEnd w:id="11"/>
    </w:p>
    <w:p w:rsidR="007B597D" w:rsidRPr="00C6728E" w:rsidRDefault="007B597D" w:rsidP="007B5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5" w:rsidRPr="00C6728E" w:rsidRDefault="007A66E5" w:rsidP="007B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КЧР</w:t>
      </w: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597D" w:rsidRPr="00C6728E" w:rsidRDefault="007B597D" w:rsidP="007B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экзаменационная комиссия (ГЭК)</w:t>
      </w:r>
    </w:p>
    <w:p w:rsidR="007B597D" w:rsidRPr="00C6728E" w:rsidRDefault="007B597D" w:rsidP="007B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7B597D" w:rsidRPr="00C6728E" w:rsidRDefault="007B597D" w:rsidP="007B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97D" w:rsidRPr="00C6728E" w:rsidRDefault="007B597D" w:rsidP="007B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№_____.___.201_</w:t>
      </w:r>
    </w:p>
    <w:p w:rsidR="007B597D" w:rsidRPr="00C6728E" w:rsidRDefault="007B597D" w:rsidP="007B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7D" w:rsidRPr="00C6728E" w:rsidRDefault="007B597D" w:rsidP="007B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</w:p>
    <w:p w:rsidR="007B597D" w:rsidRPr="00C6728E" w:rsidRDefault="007B597D" w:rsidP="007B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7D" w:rsidRPr="00C6728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7B597D" w:rsidRPr="00C6728E" w:rsidRDefault="007B597D" w:rsidP="007B59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Вопрос № 1.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Вопрос № 2.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3. …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Разное.</w:t>
      </w:r>
    </w:p>
    <w:p w:rsidR="007B597D" w:rsidRPr="00C6728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7D" w:rsidRPr="00C6728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 первому вопросу</w:t>
      </w:r>
    </w:p>
    <w:p w:rsidR="007B597D" w:rsidRPr="00C6728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вопроса.</w:t>
      </w:r>
    </w:p>
    <w:p w:rsidR="007B597D" w:rsidRPr="00C6728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решение по данному вопросу (большинством голосов, единогласно, единолично председателем ГЭК (заместителям председателя ГЭК).</w:t>
      </w:r>
    </w:p>
    <w:p w:rsidR="007B597D" w:rsidRPr="00C6728E" w:rsidRDefault="007B597D" w:rsidP="007B5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B597D" w:rsidRPr="00C6728E" w:rsidRDefault="007B597D" w:rsidP="007B59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 четвертому вопросу</w:t>
      </w:r>
    </w:p>
    <w:p w:rsidR="007B597D" w:rsidRPr="00C6728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вопроса.</w:t>
      </w:r>
    </w:p>
    <w:p w:rsidR="007B597D" w:rsidRPr="00C6728E" w:rsidRDefault="007B597D" w:rsidP="007B5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решение по данному вопросу (большинством голосов, единогласно, единолично председателем ГЭК (заместителям председателя ГЭК).).</w:t>
      </w:r>
    </w:p>
    <w:p w:rsidR="007B597D" w:rsidRPr="00C6728E" w:rsidRDefault="007B597D" w:rsidP="007B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7D" w:rsidRPr="00C6728E" w:rsidRDefault="007B597D" w:rsidP="007B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7D" w:rsidRPr="00C6728E" w:rsidRDefault="007B597D" w:rsidP="007B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ГЭК (Заместитель председателя ГЭК)       Подпись</w:t>
      </w: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Ф.И.О.</w:t>
      </w:r>
    </w:p>
    <w:p w:rsidR="007B597D" w:rsidRPr="00C6728E" w:rsidRDefault="007B597D" w:rsidP="007B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7D" w:rsidRPr="00C6728E" w:rsidRDefault="007B597D" w:rsidP="007B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7D" w:rsidRPr="00C6728E" w:rsidRDefault="007B597D" w:rsidP="007B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DA7" w:rsidRPr="00C6728E" w:rsidRDefault="007B597D" w:rsidP="007B597D">
      <w:pPr>
        <w:spacing w:after="622" w:line="317" w:lineRule="exact"/>
        <w:ind w:right="2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r w:rsidR="007A66E5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ГЭК </w:t>
      </w:r>
      <w:r w:rsidR="00DA3DA7"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0497D" w:rsidRPr="00C6728E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5" w:rsidRPr="00C6728E" w:rsidRDefault="007A66E5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C6728E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21" w:rsidRPr="00C6728E" w:rsidRDefault="00F16C21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C21" w:rsidRPr="00C6728E" w:rsidRDefault="00F16C21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C6728E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A9" w:rsidRPr="00C6728E" w:rsidRDefault="00911817" w:rsidP="007A66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  <w:tab/>
      </w:r>
    </w:p>
    <w:p w:rsidR="00561B6E" w:rsidRPr="00C6728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Pr="00C6728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Pr="00C6728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Pr="00C6728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6E5" w:rsidRPr="00C6728E" w:rsidRDefault="007A66E5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6E5" w:rsidRPr="00C6728E" w:rsidRDefault="007A66E5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C6728E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 </w:t>
      </w:r>
    </w:p>
    <w:p w:rsidR="00232671" w:rsidRPr="00C6728E" w:rsidRDefault="00232671" w:rsidP="0023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232671" w:rsidRPr="00C6728E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КЧР                                                                                 </w:t>
      </w:r>
      <w:proofErr w:type="spellStart"/>
      <w:r w:rsidRPr="00C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Ф.Б.Бекижева</w:t>
      </w:r>
      <w:proofErr w:type="spellEnd"/>
    </w:p>
    <w:p w:rsidR="00232671" w:rsidRPr="00C6728E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дошкольного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общего образования                               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В.Г.Воловик</w:t>
      </w:r>
      <w:proofErr w:type="spellEnd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Консультант-юрист отдела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организационной работы и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материально-технического обеспечения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Т.М.Узденов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7A66E5" w:rsidRDefault="0023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267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7A66E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sectPr w:rsidR="0060497D" w:rsidRPr="007A66E5" w:rsidSect="006049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07" w:rsidRDefault="006C5A07" w:rsidP="007B597D">
      <w:pPr>
        <w:spacing w:after="0" w:line="240" w:lineRule="auto"/>
      </w:pPr>
      <w:r>
        <w:separator/>
      </w:r>
    </w:p>
  </w:endnote>
  <w:endnote w:type="continuationSeparator" w:id="0">
    <w:p w:rsidR="006C5A07" w:rsidRDefault="006C5A07" w:rsidP="007B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07" w:rsidRDefault="006C5A07" w:rsidP="007B597D">
      <w:pPr>
        <w:spacing w:after="0" w:line="240" w:lineRule="auto"/>
      </w:pPr>
      <w:r>
        <w:separator/>
      </w:r>
    </w:p>
  </w:footnote>
  <w:footnote w:type="continuationSeparator" w:id="0">
    <w:p w:rsidR="006C5A07" w:rsidRDefault="006C5A07" w:rsidP="007B597D">
      <w:pPr>
        <w:spacing w:after="0" w:line="240" w:lineRule="auto"/>
      </w:pPr>
      <w:r>
        <w:continuationSeparator/>
      </w:r>
    </w:p>
  </w:footnote>
  <w:footnote w:id="1">
    <w:p w:rsidR="007B597D" w:rsidRDefault="007B597D" w:rsidP="007B597D">
      <w:pPr>
        <w:ind w:right="170" w:firstLine="720"/>
        <w:jc w:val="both"/>
        <w:rPr>
          <w:sz w:val="28"/>
          <w:szCs w:val="24"/>
        </w:rPr>
      </w:pPr>
      <w:r>
        <w:rPr>
          <w:rStyle w:val="af4"/>
        </w:rPr>
        <w:footnoteRef/>
      </w:r>
      <w:r>
        <w:rPr>
          <w:sz w:val="18"/>
          <w:szCs w:val="18"/>
        </w:rPr>
        <w:t>П</w:t>
      </w:r>
      <w:r w:rsidRPr="000938B9">
        <w:rPr>
          <w:sz w:val="18"/>
          <w:szCs w:val="18"/>
        </w:rPr>
        <w:t>од конфликтом интересов понимается ситуация, при которой личная заинтересованность лица, привлекаемого к проведению ГИА, или его близких родственников влияет или может повлиять на объективное исполнение возложенных на него обязанностей</w:t>
      </w:r>
      <w:r>
        <w:rPr>
          <w:sz w:val="18"/>
          <w:szCs w:val="18"/>
        </w:rPr>
        <w:t>.</w:t>
      </w:r>
    </w:p>
    <w:p w:rsidR="007B597D" w:rsidRDefault="007B597D" w:rsidP="007B597D">
      <w:pPr>
        <w:pStyle w:val="af2"/>
      </w:pPr>
    </w:p>
  </w:footnote>
  <w:footnote w:id="2">
    <w:p w:rsidR="007B597D" w:rsidRDefault="007B597D" w:rsidP="007B597D">
      <w:pPr>
        <w:pStyle w:val="af2"/>
        <w:jc w:val="both"/>
      </w:pPr>
      <w:r>
        <w:rPr>
          <w:rStyle w:val="af4"/>
        </w:rPr>
        <w:footnoteRef/>
      </w:r>
      <w:r>
        <w:t xml:space="preserve"> Изменение формы проведения ГИА Порядком не регламентировано. В то же время ГЭК может принимать решение по изменению формы проведения ГИА в соответствии с  пунктом 11 Порядка, т.е. обучающиеся вправе изменить форму проведения ГИА только при наличии у них уважительных причин, подтвержденных документально. В этом случае обучающийся подает заявление в ГЭК с указанием выбранной формы проведения ГИА и причины изменения заявленной ранее формы. Указанное заявление подается не позднее чем за две недели до начала экзаменов.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45C"/>
    <w:multiLevelType w:val="hybridMultilevel"/>
    <w:tmpl w:val="8FAE7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52C7"/>
    <w:multiLevelType w:val="hybridMultilevel"/>
    <w:tmpl w:val="EBAE1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828C9"/>
    <w:multiLevelType w:val="hybridMultilevel"/>
    <w:tmpl w:val="C264E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81A4D"/>
    <w:multiLevelType w:val="hybridMultilevel"/>
    <w:tmpl w:val="9ADA1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0A2131"/>
    <w:multiLevelType w:val="hybridMultilevel"/>
    <w:tmpl w:val="1576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34CB0"/>
    <w:multiLevelType w:val="hybridMultilevel"/>
    <w:tmpl w:val="38E4F1E2"/>
    <w:lvl w:ilvl="0" w:tplc="79F8A75E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1981457"/>
    <w:multiLevelType w:val="multilevel"/>
    <w:tmpl w:val="18549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19D553F"/>
    <w:multiLevelType w:val="hybridMultilevel"/>
    <w:tmpl w:val="A9F48BE4"/>
    <w:lvl w:ilvl="0" w:tplc="330A8CD0">
      <w:start w:val="1"/>
      <w:numFmt w:val="decimal"/>
      <w:lvlText w:val="%1."/>
      <w:lvlJc w:val="left"/>
      <w:pPr>
        <w:ind w:left="144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C2530B"/>
    <w:multiLevelType w:val="multilevel"/>
    <w:tmpl w:val="3A820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0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01BB4"/>
    <w:multiLevelType w:val="hybridMultilevel"/>
    <w:tmpl w:val="A9721B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C795158"/>
    <w:multiLevelType w:val="hybridMultilevel"/>
    <w:tmpl w:val="3424DB3E"/>
    <w:lvl w:ilvl="0" w:tplc="4CACED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B5DC8"/>
    <w:multiLevelType w:val="hybridMultilevel"/>
    <w:tmpl w:val="292868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024182"/>
    <w:multiLevelType w:val="hybridMultilevel"/>
    <w:tmpl w:val="0E5EA6BA"/>
    <w:lvl w:ilvl="0" w:tplc="CB54F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5A2B04"/>
    <w:multiLevelType w:val="multilevel"/>
    <w:tmpl w:val="06D0C85C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7">
    <w:nsid w:val="73E03C32"/>
    <w:multiLevelType w:val="hybridMultilevel"/>
    <w:tmpl w:val="AF78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5"/>
  </w:num>
  <w:num w:numId="5">
    <w:abstractNumId w:val="8"/>
  </w:num>
  <w:num w:numId="6">
    <w:abstractNumId w:val="12"/>
  </w:num>
  <w:num w:numId="7">
    <w:abstractNumId w:val="16"/>
  </w:num>
  <w:num w:numId="8">
    <w:abstractNumId w:val="14"/>
  </w:num>
  <w:num w:numId="9">
    <w:abstractNumId w:val="7"/>
  </w:num>
  <w:num w:numId="10">
    <w:abstractNumId w:val="11"/>
  </w:num>
  <w:num w:numId="11">
    <w:abstractNumId w:val="0"/>
  </w:num>
  <w:num w:numId="12">
    <w:abstractNumId w:val="17"/>
  </w:num>
  <w:num w:numId="13">
    <w:abstractNumId w:val="3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15698"/>
    <w:rsid w:val="00024A4C"/>
    <w:rsid w:val="0002704C"/>
    <w:rsid w:val="00055FA9"/>
    <w:rsid w:val="00056EF1"/>
    <w:rsid w:val="00080407"/>
    <w:rsid w:val="00080A44"/>
    <w:rsid w:val="00080FE1"/>
    <w:rsid w:val="00087FF5"/>
    <w:rsid w:val="000C2046"/>
    <w:rsid w:val="000F55B9"/>
    <w:rsid w:val="00176692"/>
    <w:rsid w:val="00180575"/>
    <w:rsid w:val="001A174E"/>
    <w:rsid w:val="001B529C"/>
    <w:rsid w:val="001D08DC"/>
    <w:rsid w:val="001F0274"/>
    <w:rsid w:val="001F12A5"/>
    <w:rsid w:val="001F2A0D"/>
    <w:rsid w:val="001F509A"/>
    <w:rsid w:val="002157D8"/>
    <w:rsid w:val="00226F01"/>
    <w:rsid w:val="00232671"/>
    <w:rsid w:val="00244AC8"/>
    <w:rsid w:val="002559AF"/>
    <w:rsid w:val="00261BB4"/>
    <w:rsid w:val="00275706"/>
    <w:rsid w:val="002A43CF"/>
    <w:rsid w:val="00306338"/>
    <w:rsid w:val="00307E3E"/>
    <w:rsid w:val="003237D4"/>
    <w:rsid w:val="00351FD5"/>
    <w:rsid w:val="00373A87"/>
    <w:rsid w:val="003762CB"/>
    <w:rsid w:val="00392B74"/>
    <w:rsid w:val="003A17CD"/>
    <w:rsid w:val="003D508B"/>
    <w:rsid w:val="00405851"/>
    <w:rsid w:val="00410E1C"/>
    <w:rsid w:val="00423A5F"/>
    <w:rsid w:val="00424FA7"/>
    <w:rsid w:val="00453ACF"/>
    <w:rsid w:val="00470E61"/>
    <w:rsid w:val="004B690F"/>
    <w:rsid w:val="004E7CEE"/>
    <w:rsid w:val="005157F8"/>
    <w:rsid w:val="0052611C"/>
    <w:rsid w:val="00554A2E"/>
    <w:rsid w:val="00561B6E"/>
    <w:rsid w:val="00575F18"/>
    <w:rsid w:val="005C7919"/>
    <w:rsid w:val="005D1D83"/>
    <w:rsid w:val="005E3840"/>
    <w:rsid w:val="005F37F4"/>
    <w:rsid w:val="005F5DE8"/>
    <w:rsid w:val="0060497D"/>
    <w:rsid w:val="00615360"/>
    <w:rsid w:val="00627C9A"/>
    <w:rsid w:val="00645E5E"/>
    <w:rsid w:val="00655310"/>
    <w:rsid w:val="00661542"/>
    <w:rsid w:val="00673E40"/>
    <w:rsid w:val="006A3730"/>
    <w:rsid w:val="006B14B1"/>
    <w:rsid w:val="006B7AEC"/>
    <w:rsid w:val="006C0E46"/>
    <w:rsid w:val="006C1E72"/>
    <w:rsid w:val="006C5A07"/>
    <w:rsid w:val="006D68BE"/>
    <w:rsid w:val="00705B11"/>
    <w:rsid w:val="0072166D"/>
    <w:rsid w:val="00722031"/>
    <w:rsid w:val="0074636E"/>
    <w:rsid w:val="00771C93"/>
    <w:rsid w:val="007A431C"/>
    <w:rsid w:val="007A5347"/>
    <w:rsid w:val="007A5F5C"/>
    <w:rsid w:val="007A66E5"/>
    <w:rsid w:val="007B597D"/>
    <w:rsid w:val="007B6845"/>
    <w:rsid w:val="007B74C0"/>
    <w:rsid w:val="007C37DF"/>
    <w:rsid w:val="007E1C0D"/>
    <w:rsid w:val="007E3C9C"/>
    <w:rsid w:val="007F26FB"/>
    <w:rsid w:val="0080111D"/>
    <w:rsid w:val="008054DF"/>
    <w:rsid w:val="008068C8"/>
    <w:rsid w:val="008072C0"/>
    <w:rsid w:val="0083718F"/>
    <w:rsid w:val="00845354"/>
    <w:rsid w:val="0086017E"/>
    <w:rsid w:val="00865C77"/>
    <w:rsid w:val="00886B3F"/>
    <w:rsid w:val="00893876"/>
    <w:rsid w:val="00893D58"/>
    <w:rsid w:val="008A2453"/>
    <w:rsid w:val="008B47CB"/>
    <w:rsid w:val="008C3B6D"/>
    <w:rsid w:val="008C7154"/>
    <w:rsid w:val="008F4AF9"/>
    <w:rsid w:val="00911817"/>
    <w:rsid w:val="00913D31"/>
    <w:rsid w:val="00930E95"/>
    <w:rsid w:val="009411EE"/>
    <w:rsid w:val="009430B3"/>
    <w:rsid w:val="00957D0E"/>
    <w:rsid w:val="0096319B"/>
    <w:rsid w:val="009857F3"/>
    <w:rsid w:val="00991F0B"/>
    <w:rsid w:val="009A1FBB"/>
    <w:rsid w:val="009E74D3"/>
    <w:rsid w:val="009E77E6"/>
    <w:rsid w:val="00A100CD"/>
    <w:rsid w:val="00A16462"/>
    <w:rsid w:val="00A45C11"/>
    <w:rsid w:val="00A65E36"/>
    <w:rsid w:val="00A7448C"/>
    <w:rsid w:val="00B20DC7"/>
    <w:rsid w:val="00B2703E"/>
    <w:rsid w:val="00B416FD"/>
    <w:rsid w:val="00B45C9C"/>
    <w:rsid w:val="00B46055"/>
    <w:rsid w:val="00B461BE"/>
    <w:rsid w:val="00B461EC"/>
    <w:rsid w:val="00B54329"/>
    <w:rsid w:val="00B56899"/>
    <w:rsid w:val="00B92759"/>
    <w:rsid w:val="00BF1BCB"/>
    <w:rsid w:val="00C40916"/>
    <w:rsid w:val="00C42A74"/>
    <w:rsid w:val="00C42DB1"/>
    <w:rsid w:val="00C65C79"/>
    <w:rsid w:val="00C6728E"/>
    <w:rsid w:val="00C844E6"/>
    <w:rsid w:val="00CB029D"/>
    <w:rsid w:val="00CE6523"/>
    <w:rsid w:val="00CF7588"/>
    <w:rsid w:val="00D10CCE"/>
    <w:rsid w:val="00D442BB"/>
    <w:rsid w:val="00D638D0"/>
    <w:rsid w:val="00D66B0F"/>
    <w:rsid w:val="00D76A26"/>
    <w:rsid w:val="00D87076"/>
    <w:rsid w:val="00D9444A"/>
    <w:rsid w:val="00DA3DA7"/>
    <w:rsid w:val="00DE622E"/>
    <w:rsid w:val="00DF7DD9"/>
    <w:rsid w:val="00E35EA9"/>
    <w:rsid w:val="00E564D2"/>
    <w:rsid w:val="00E879FE"/>
    <w:rsid w:val="00E938E9"/>
    <w:rsid w:val="00EB33AA"/>
    <w:rsid w:val="00EC2AB9"/>
    <w:rsid w:val="00ED3E76"/>
    <w:rsid w:val="00F10834"/>
    <w:rsid w:val="00F13FAA"/>
    <w:rsid w:val="00F16C21"/>
    <w:rsid w:val="00F232F1"/>
    <w:rsid w:val="00F241F6"/>
    <w:rsid w:val="00F34F9A"/>
    <w:rsid w:val="00F612B8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B68B-C0D8-4DE2-A8BB-9F556301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7B597D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59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597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B59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59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7B597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597D"/>
  </w:style>
  <w:style w:type="character" w:customStyle="1" w:styleId="30">
    <w:name w:val="Заголовок 3 Знак"/>
    <w:basedOn w:val="a0"/>
    <w:link w:val="3"/>
    <w:semiHidden/>
    <w:rsid w:val="007B597D"/>
    <w:rPr>
      <w:rFonts w:ascii="Cambria" w:eastAsia="Times New Roman" w:hAnsi="Cambria" w:cs="Times New Roman"/>
      <w:b/>
      <w:bCs/>
      <w:color w:val="4F81BD"/>
    </w:rPr>
  </w:style>
  <w:style w:type="paragraph" w:styleId="32">
    <w:name w:val="Body Text 3"/>
    <w:basedOn w:val="a"/>
    <w:link w:val="33"/>
    <w:rsid w:val="007B59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7B5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7B59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Знак2"/>
    <w:basedOn w:val="a"/>
    <w:rsid w:val="007B59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7B5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B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7B597D"/>
    <w:rPr>
      <w:color w:val="0000FF"/>
      <w:u w:val="single"/>
    </w:rPr>
  </w:style>
  <w:style w:type="paragraph" w:styleId="ab">
    <w:name w:val="Body Text Indent"/>
    <w:basedOn w:val="a"/>
    <w:link w:val="ac"/>
    <w:rsid w:val="007B59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5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7B59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7B59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5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7B59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5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7B5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B5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7B59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Письмо"/>
    <w:basedOn w:val="a"/>
    <w:uiPriority w:val="99"/>
    <w:rsid w:val="007B597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rsid w:val="007B597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B5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7B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7B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7B597D"/>
    <w:rPr>
      <w:vertAlign w:val="superscript"/>
    </w:rPr>
  </w:style>
  <w:style w:type="character" w:styleId="af5">
    <w:name w:val="annotation reference"/>
    <w:semiHidden/>
    <w:rsid w:val="007B597D"/>
    <w:rPr>
      <w:sz w:val="16"/>
      <w:szCs w:val="16"/>
    </w:rPr>
  </w:style>
  <w:style w:type="paragraph" w:styleId="af6">
    <w:name w:val="annotation text"/>
    <w:basedOn w:val="a"/>
    <w:link w:val="af7"/>
    <w:semiHidden/>
    <w:rsid w:val="007B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7B5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7B597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7B59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Strong"/>
    <w:qFormat/>
    <w:rsid w:val="007B597D"/>
    <w:rPr>
      <w:b/>
      <w:bCs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7B597D"/>
    <w:pPr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paragraph" w:styleId="24">
    <w:name w:val="toc 2"/>
    <w:basedOn w:val="a"/>
    <w:next w:val="a"/>
    <w:autoRedefine/>
    <w:uiPriority w:val="39"/>
    <w:qFormat/>
    <w:rsid w:val="007B597D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7B597D"/>
    <w:pPr>
      <w:tabs>
        <w:tab w:val="right" w:leader="dot" w:pos="9786"/>
      </w:tabs>
      <w:spacing w:after="0" w:line="240" w:lineRule="auto"/>
    </w:pPr>
    <w:rPr>
      <w:rFonts w:ascii="Times New Roman" w:eastAsia="Times New Roman" w:hAnsi="Times New Roman"/>
      <w:sz w:val="26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unhideWhenUsed/>
    <w:qFormat/>
    <w:rsid w:val="007B597D"/>
    <w:pPr>
      <w:spacing w:after="100"/>
      <w:ind w:left="440"/>
    </w:pPr>
    <w:rPr>
      <w:rFonts w:eastAsia="Times New Roman"/>
      <w:lang w:eastAsia="ru-RU"/>
    </w:rPr>
  </w:style>
  <w:style w:type="paragraph" w:customStyle="1" w:styleId="14">
    <w:name w:val="Подзаголовок1"/>
    <w:basedOn w:val="a"/>
    <w:next w:val="a"/>
    <w:qFormat/>
    <w:rsid w:val="007B597D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c"/>
    <w:rsid w:val="007B597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d">
    <w:name w:val="Book Title"/>
    <w:basedOn w:val="a0"/>
    <w:uiPriority w:val="33"/>
    <w:qFormat/>
    <w:rsid w:val="007B597D"/>
    <w:rPr>
      <w:b/>
      <w:bCs/>
      <w:smallCaps/>
      <w:spacing w:val="5"/>
    </w:rPr>
  </w:style>
  <w:style w:type="paragraph" w:customStyle="1" w:styleId="15">
    <w:name w:val="Без интервала1"/>
    <w:next w:val="afe"/>
    <w:link w:val="aff"/>
    <w:uiPriority w:val="1"/>
    <w:qFormat/>
    <w:rsid w:val="007B597D"/>
    <w:pPr>
      <w:spacing w:after="0" w:line="240" w:lineRule="auto"/>
    </w:pPr>
    <w:rPr>
      <w:rFonts w:eastAsia="Times New Roman"/>
      <w:lang w:eastAsia="ru-RU"/>
    </w:rPr>
  </w:style>
  <w:style w:type="character" w:customStyle="1" w:styleId="aff">
    <w:name w:val="Без интервала Знак"/>
    <w:basedOn w:val="a0"/>
    <w:link w:val="15"/>
    <w:uiPriority w:val="1"/>
    <w:rsid w:val="007B597D"/>
    <w:rPr>
      <w:rFonts w:ascii="Calibri" w:eastAsia="Times New Roman" w:hAnsi="Calibri" w:cs="Times New Roman"/>
      <w:sz w:val="22"/>
      <w:szCs w:val="22"/>
    </w:rPr>
  </w:style>
  <w:style w:type="paragraph" w:styleId="aff0">
    <w:name w:val="endnote text"/>
    <w:basedOn w:val="a"/>
    <w:link w:val="aff1"/>
    <w:rsid w:val="007B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rsid w:val="007B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rsid w:val="007B597D"/>
    <w:rPr>
      <w:vertAlign w:val="superscript"/>
    </w:rPr>
  </w:style>
  <w:style w:type="paragraph" w:styleId="aff3">
    <w:name w:val="Revision"/>
    <w:hidden/>
    <w:uiPriority w:val="99"/>
    <w:semiHidden/>
    <w:rsid w:val="007B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7B59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c">
    <w:name w:val="Subtitle"/>
    <w:basedOn w:val="a"/>
    <w:next w:val="a"/>
    <w:link w:val="afb"/>
    <w:qFormat/>
    <w:rsid w:val="007B597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7B59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No Spacing"/>
    <w:uiPriority w:val="1"/>
    <w:qFormat/>
    <w:rsid w:val="007B5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403A-9FBE-470E-9C21-1C702148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Tatyana</cp:lastModifiedBy>
  <cp:revision>9</cp:revision>
  <cp:lastPrinted>2016-01-18T13:50:00Z</cp:lastPrinted>
  <dcterms:created xsi:type="dcterms:W3CDTF">2016-01-19T13:55:00Z</dcterms:created>
  <dcterms:modified xsi:type="dcterms:W3CDTF">2016-01-25T14:46:00Z</dcterms:modified>
</cp:coreProperties>
</file>